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DEA" w:rsidRPr="00F04525" w:rsidRDefault="00C37DEA" w:rsidP="00BC7200">
      <w:pPr>
        <w:pStyle w:val="1"/>
        <w:spacing w:line="276" w:lineRule="auto"/>
        <w:jc w:val="center"/>
        <w:rPr>
          <w:rFonts w:ascii="Times New Roman" w:hAnsi="Times New Roman" w:cs="Times New Roman"/>
          <w:color w:val="auto"/>
          <w:sz w:val="26"/>
          <w:szCs w:val="26"/>
        </w:rPr>
      </w:pPr>
      <w:bookmarkStart w:id="0" w:name="_GoBack"/>
      <w:bookmarkEnd w:id="0"/>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223494"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223494"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223494"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223494"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1" w:name="_Toc534897189"/>
      <w:r w:rsidRPr="00F04525">
        <w:rPr>
          <w:rFonts w:ascii="Times New Roman" w:hAnsi="Times New Roman" w:cs="Times New Roman"/>
          <w:color w:val="auto"/>
        </w:rPr>
        <w:t>2. Категории участников итогового собеседования</w:t>
      </w:r>
      <w:bookmarkEnd w:id="1"/>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2"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2"/>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3"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3"/>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4"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4"/>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5"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5"/>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6"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6"/>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r w:rsidR="008142B2" w:rsidRPr="00F04525">
        <w:rPr>
          <w:sz w:val="26"/>
          <w:szCs w:val="26"/>
          <w:lang w:val="en-US"/>
        </w:rPr>
        <w:t>rustest</w:t>
      </w:r>
      <w:r w:rsidR="008142B2" w:rsidRPr="00F04525">
        <w:rPr>
          <w:sz w:val="26"/>
          <w:szCs w:val="26"/>
        </w:rPr>
        <w:t>.</w:t>
      </w:r>
      <w:r w:rsidR="008142B2" w:rsidRPr="00F04525">
        <w:rPr>
          <w:sz w:val="26"/>
          <w:szCs w:val="26"/>
          <w:lang w:val="en-US"/>
        </w:rPr>
        <w:t>ru</w:t>
      </w:r>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TestReader»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7"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7"/>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8"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8"/>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r w:rsidRPr="00F04525">
        <w:rPr>
          <w:b/>
          <w:sz w:val="26"/>
          <w:szCs w:val="26"/>
          <w:lang w:val="en-US"/>
        </w:rPr>
        <w:t>rustest</w:t>
      </w:r>
      <w:r w:rsidRPr="00F04525">
        <w:rPr>
          <w:b/>
          <w:sz w:val="26"/>
          <w:szCs w:val="26"/>
        </w:rPr>
        <w:t>.</w:t>
      </w:r>
      <w:r w:rsidRPr="00F04525">
        <w:rPr>
          <w:b/>
          <w:sz w:val="26"/>
          <w:szCs w:val="26"/>
          <w:lang w:val="en-US"/>
        </w:rPr>
        <w:t>ru</w:t>
      </w:r>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организации (на уроке) или в </w:t>
      </w:r>
      <w:r w:rsidRPr="00F04525">
        <w:rPr>
          <w:sz w:val="26"/>
          <w:szCs w:val="26"/>
        </w:rPr>
        <w:t xml:space="preserve">учебном кабинете (аудитории) ожидания (если параллельно </w:t>
      </w:r>
      <w:r w:rsidRPr="00F04525">
        <w:rPr>
          <w:sz w:val="26"/>
          <w:szCs w:val="26"/>
        </w:rPr>
        <w:lastRenderedPageBreak/>
        <w:t>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w:t>
      </w:r>
      <w:r w:rsidR="008142B2" w:rsidRPr="00F04525">
        <w:rPr>
          <w:sz w:val="26"/>
          <w:szCs w:val="26"/>
        </w:rPr>
        <w:lastRenderedPageBreak/>
        <w:t>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9"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9"/>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00696F40">
        <w:rPr>
          <w:sz w:val="26"/>
          <w:szCs w:val="26"/>
        </w:rPr>
        <w:t xml:space="preserve"> </w:t>
      </w:r>
      <w:r w:rsidRPr="00F04525">
        <w:rPr>
          <w:sz w:val="26"/>
          <w:szCs w:val="26"/>
        </w:rPr>
        <w:t xml:space="preserve">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Bold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10"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10"/>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1"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2"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2"/>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3"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3"/>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4"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4"/>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5" w:name="_Toc534897202"/>
      <w:r w:rsidRPr="005758F9">
        <w:rPr>
          <w:rFonts w:ascii="Times New Roman" w:hAnsi="Times New Roman" w:cs="Times New Roman"/>
          <w:b w:val="0"/>
          <w:color w:val="auto"/>
          <w:sz w:val="24"/>
          <w:szCs w:val="24"/>
        </w:rPr>
        <w:lastRenderedPageBreak/>
        <w:t>Приложение 1</w:t>
      </w:r>
      <w:bookmarkEnd w:id="15"/>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6" w:name="_Toc534897203"/>
      <w:r w:rsidRPr="005758F9">
        <w:rPr>
          <w:rFonts w:ascii="Times New Roman" w:hAnsi="Times New Roman" w:cs="Times New Roman"/>
          <w:color w:val="auto"/>
          <w:sz w:val="24"/>
          <w:szCs w:val="24"/>
        </w:rPr>
        <w:t>Инструкция</w:t>
      </w:r>
      <w:bookmarkEnd w:id="16"/>
    </w:p>
    <w:p w:rsidR="008142B2" w:rsidRPr="005758F9" w:rsidRDefault="008142B2" w:rsidP="005758F9">
      <w:pPr>
        <w:pStyle w:val="1"/>
        <w:spacing w:before="0"/>
        <w:ind w:left="709"/>
        <w:jc w:val="center"/>
        <w:rPr>
          <w:color w:val="auto"/>
          <w:sz w:val="24"/>
          <w:szCs w:val="24"/>
        </w:rPr>
      </w:pPr>
      <w:bookmarkStart w:id="17" w:name="_Toc534897204"/>
      <w:r w:rsidRPr="005758F9">
        <w:rPr>
          <w:rFonts w:ascii="Times New Roman" w:hAnsi="Times New Roman" w:cs="Times New Roman"/>
          <w:color w:val="auto"/>
          <w:sz w:val="24"/>
          <w:szCs w:val="24"/>
        </w:rPr>
        <w:t>для специалиста РЦОИ</w:t>
      </w:r>
      <w:bookmarkEnd w:id="17"/>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Посредством апробационного ПО «Планирование ГИА-9» обеспечивает развертывание региональной апробационной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Передает апробационное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апробационного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апробационного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с помощью апробационного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файлы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TestReader»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8"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8"/>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lastRenderedPageBreak/>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организатору(ам)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lastRenderedPageBreak/>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организатору(ам)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передачу в РЦОИ на флеш-носителях,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w:t>
      </w:r>
      <w:r w:rsidRPr="00F04525">
        <w:rPr>
          <w:sz w:val="26"/>
          <w:szCs w:val="26"/>
        </w:rPr>
        <w:lastRenderedPageBreak/>
        <w:t xml:space="preserve">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699"/>
        <w:gridCol w:w="1698"/>
        <w:gridCol w:w="1700"/>
        <w:gridCol w:w="1702"/>
        <w:gridCol w:w="1702"/>
        <w:gridCol w:w="1442"/>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00"/>
        <w:gridCol w:w="1700"/>
        <w:gridCol w:w="1699"/>
        <w:gridCol w:w="1701"/>
        <w:gridCol w:w="1701"/>
        <w:gridCol w:w="1699"/>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022"/>
        <w:gridCol w:w="325"/>
        <w:gridCol w:w="2335"/>
        <w:gridCol w:w="325"/>
        <w:gridCol w:w="2198"/>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65"/>
        <w:gridCol w:w="916"/>
        <w:gridCol w:w="359"/>
        <w:gridCol w:w="1663"/>
        <w:gridCol w:w="275"/>
        <w:gridCol w:w="315"/>
        <w:gridCol w:w="148"/>
        <w:gridCol w:w="515"/>
        <w:gridCol w:w="417"/>
        <w:gridCol w:w="417"/>
        <w:gridCol w:w="417"/>
        <w:gridCol w:w="153"/>
        <w:gridCol w:w="289"/>
        <w:gridCol w:w="437"/>
        <w:gridCol w:w="417"/>
        <w:gridCol w:w="417"/>
        <w:gridCol w:w="674"/>
        <w:gridCol w:w="414"/>
        <w:gridCol w:w="440"/>
        <w:gridCol w:w="419"/>
        <w:gridCol w:w="688"/>
        <w:gridCol w:w="532"/>
        <w:gridCol w:w="440"/>
        <w:gridCol w:w="414"/>
        <w:gridCol w:w="417"/>
        <w:gridCol w:w="564"/>
        <w:gridCol w:w="920"/>
        <w:gridCol w:w="807"/>
        <w:gridCol w:w="84"/>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94" w:rsidRDefault="00223494" w:rsidP="00C37DEA">
      <w:r>
        <w:separator/>
      </w:r>
    </w:p>
  </w:endnote>
  <w:endnote w:type="continuationSeparator" w:id="0">
    <w:p w:rsidR="00223494" w:rsidRDefault="00223494"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7622"/>
      <w:docPartObj>
        <w:docPartGallery w:val="Page Numbers (Bottom of Page)"/>
        <w:docPartUnique/>
      </w:docPartObj>
    </w:sdtPr>
    <w:sdtEndPr/>
    <w:sdtContent>
      <w:p w:rsidR="00C7595F" w:rsidRDefault="00C7595F">
        <w:pPr>
          <w:pStyle w:val="a3"/>
          <w:jc w:val="center"/>
        </w:pPr>
        <w:r>
          <w:rPr>
            <w:noProof/>
          </w:rPr>
          <w:fldChar w:fldCharType="begin"/>
        </w:r>
        <w:r>
          <w:rPr>
            <w:noProof/>
          </w:rPr>
          <w:instrText xml:space="preserve"> PAGE   \* MERGEFORMAT </w:instrText>
        </w:r>
        <w:r>
          <w:rPr>
            <w:noProof/>
          </w:rPr>
          <w:fldChar w:fldCharType="separate"/>
        </w:r>
        <w:r w:rsidR="00A24A10">
          <w:rPr>
            <w:noProof/>
          </w:rPr>
          <w:t>21</w:t>
        </w:r>
        <w:r>
          <w:rPr>
            <w:noProof/>
          </w:rPr>
          <w:fldChar w:fldCharType="end"/>
        </w:r>
      </w:p>
    </w:sdtContent>
  </w:sdt>
  <w:p w:rsidR="00C7595F" w:rsidRDefault="00C7595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94" w:rsidRDefault="00223494" w:rsidP="00C37DEA">
      <w:r>
        <w:separator/>
      </w:r>
    </w:p>
  </w:footnote>
  <w:footnote w:type="continuationSeparator" w:id="0">
    <w:p w:rsidR="00223494" w:rsidRDefault="00223494" w:rsidP="00C37DEA">
      <w:r>
        <w:continuationSeparator/>
      </w:r>
    </w:p>
  </w:footnote>
  <w:footnote w:id="1">
    <w:p w:rsidR="00C7595F" w:rsidRDefault="00C7595F">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2">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4">
    <w:p w:rsidR="00C7595F" w:rsidRDefault="00C7595F"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5">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15:restartNumberingAfterBreak="0">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15:restartNumberingAfterBreak="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15:restartNumberingAfterBreak="0">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15:restartNumberingAfterBreak="0">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3494"/>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24A10"/>
    <w:rsid w:val="00A303BD"/>
    <w:rsid w:val="00A319AC"/>
    <w:rsid w:val="00A35D2C"/>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C1C50-B16A-47C4-8BD3-F161761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8F54-9149-4D92-84EF-277A8389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Пользователь</cp:lastModifiedBy>
  <cp:revision>2</cp:revision>
  <cp:lastPrinted>2019-01-14T08:09:00Z</cp:lastPrinted>
  <dcterms:created xsi:type="dcterms:W3CDTF">2019-01-14T13:33:00Z</dcterms:created>
  <dcterms:modified xsi:type="dcterms:W3CDTF">2019-01-14T13:33:00Z</dcterms:modified>
</cp:coreProperties>
</file>