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E50B58" w:rsidRDefault="007B7E63" w:rsidP="007B7E63">
      <w:pPr>
        <w:widowControl w:val="0"/>
        <w:jc w:val="center"/>
        <w:rPr>
          <w:b/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D329EA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D329EA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D329E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D329E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51435" w:rsidRDefault="00D329E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401F0" w:rsidRPr="001A63B2" w:rsidRDefault="00D329E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0" w:name="_Toc412737753"/>
      <w:r w:rsidRPr="001A63B2">
        <w:rPr>
          <w:b/>
          <w:sz w:val="28"/>
          <w:szCs w:val="28"/>
        </w:rPr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0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6" w:name="_Toc533773063"/>
      <w:r w:rsidRPr="001A63B2">
        <w:t>Нормативные правовые документы</w:t>
      </w:r>
      <w:bookmarkEnd w:id="1"/>
      <w:bookmarkEnd w:id="6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7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8" w:name="_Toc533773064"/>
      <w:r w:rsidRPr="001A63B2">
        <w:t xml:space="preserve">1. </w:t>
      </w:r>
      <w:r w:rsidR="00F401F0" w:rsidRPr="001A63B2">
        <w:t>Введение</w:t>
      </w:r>
      <w:bookmarkEnd w:id="7"/>
      <w:bookmarkEnd w:id="8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Pr="001A63B2">
        <w:rPr>
          <w:sz w:val="26"/>
          <w:szCs w:val="26"/>
        </w:rPr>
        <w:t xml:space="preserve">Порядка ГИА-11для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 xml:space="preserve">загранучрежденияорганизуют проведение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475243">
        <w:rPr>
          <w:sz w:val="26"/>
          <w:szCs w:val="26"/>
        </w:rPr>
        <w:t>при подаче заявленияна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2"/>
      </w:r>
      <w:r w:rsidR="00624F56">
        <w:rPr>
          <w:sz w:val="26"/>
          <w:szCs w:val="26"/>
        </w:rPr>
        <w:t>;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–инвалидов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9" w:name="_Toc412737756"/>
      <w:bookmarkStart w:id="10" w:name="_Toc533773065"/>
      <w:bookmarkEnd w:id="2"/>
      <w:bookmarkEnd w:id="3"/>
      <w:bookmarkEnd w:id="4"/>
      <w:bookmarkEnd w:id="5"/>
      <w:r w:rsidR="005033AA" w:rsidRPr="001A63B2">
        <w:t xml:space="preserve">2. </w:t>
      </w:r>
      <w:r w:rsidR="00F401F0" w:rsidRPr="001A63B2">
        <w:t>Особенности организации ППЭ</w:t>
      </w:r>
      <w:bookmarkEnd w:id="9"/>
      <w:bookmarkEnd w:id="10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 xml:space="preserve">,при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4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 xml:space="preserve"> (аудитории),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>.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обучающиесяпо адаптированнымосновным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>
        <w:rPr>
          <w:sz w:val="26"/>
          <w:szCs w:val="26"/>
        </w:rPr>
        <w:t>лиц</w:t>
      </w:r>
      <w:r w:rsidR="00B11A89" w:rsidRPr="001A63B2">
        <w:rPr>
          <w:sz w:val="26"/>
          <w:szCs w:val="26"/>
        </w:rPr>
        <w:t>с 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81CE7" w:rsidRPr="001A63B2">
        <w:rPr>
          <w:sz w:val="26"/>
          <w:szCs w:val="26"/>
        </w:rPr>
        <w:t>на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 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.Для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на дому,в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1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2" w:name="_Toc533773066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1"/>
      <w:bookmarkEnd w:id="12"/>
    </w:p>
    <w:p w:rsidR="00F401F0" w:rsidRPr="001A63B2" w:rsidRDefault="005033AA" w:rsidP="00107EBC">
      <w:pPr>
        <w:pStyle w:val="2"/>
      </w:pPr>
      <w:bookmarkStart w:id="13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3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в том числес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4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4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 осуществлять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 xml:space="preserve">асштабирование производитсяпод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бщественныхнаблюдателей(при наличии)</w:t>
      </w:r>
      <w:r w:rsidR="00FA70D1" w:rsidRPr="001A63B2">
        <w:rPr>
          <w:sz w:val="26"/>
          <w:szCs w:val="26"/>
        </w:rPr>
        <w:t xml:space="preserve"> не ранее10</w:t>
      </w:r>
      <w:r w:rsidR="006A2F2A" w:rsidRPr="001A63B2">
        <w:rPr>
          <w:sz w:val="26"/>
          <w:szCs w:val="26"/>
        </w:rPr>
        <w:t>.00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9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компьютерабез выхода 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>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107EBC">
      <w:pPr>
        <w:pStyle w:val="2"/>
      </w:pPr>
      <w:bookmarkStart w:id="15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5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="00710723">
        <w:rPr>
          <w:sz w:val="26"/>
          <w:szCs w:val="26"/>
        </w:rPr>
        <w:t>не представляется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 для работы по переводу. Тифлопереводчики работаютв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0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6" w:name="_Toc412737758"/>
      <w:bookmarkStart w:id="17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6"/>
      <w:bookmarkEnd w:id="17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1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65466C" w:rsidRPr="001A63B2">
        <w:rPr>
          <w:bCs/>
          <w:sz w:val="26"/>
          <w:szCs w:val="26"/>
        </w:rPr>
        <w:t xml:space="preserve">позаполнению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8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9" w:name="_Toc533773071"/>
      <w:r w:rsidRPr="001A63B2">
        <w:t xml:space="preserve">4. </w:t>
      </w:r>
      <w:r w:rsidR="00F401F0" w:rsidRPr="001A63B2">
        <w:t>Особенности рассмотрения апелляций</w:t>
      </w:r>
      <w:bookmarkEnd w:id="18"/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0" w:name="_Toc412737760"/>
      <w:bookmarkStart w:id="21" w:name="_Toc533773072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0"/>
      <w:bookmarkEnd w:id="21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2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>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2" w:name="_Toc533773073"/>
      <w:bookmarkStart w:id="23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2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3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4" w:name="_Toc412737762"/>
      <w:bookmarkStart w:id="25" w:name="_Toc533773074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4"/>
      <w:r w:rsidR="00EE6F49" w:rsidRPr="00EE6F49">
        <w:br/>
      </w:r>
      <w:r w:rsidR="00EE2F97" w:rsidRPr="001A63B2">
        <w:t>(система Брайля)</w:t>
      </w:r>
      <w:bookmarkEnd w:id="25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 xml:space="preserve">рельефно-точечным шрифтомпишут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тифлопереводчиков  для работы по переводу. Тифлопереводчики работаютв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6" w:name="_Toc412737763"/>
      <w:bookmarkStart w:id="27" w:name="_Toc533773075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6"/>
      <w:r w:rsidR="00D63AB3">
        <w:t>экзамена</w:t>
      </w:r>
      <w:bookmarkEnd w:id="27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 ответов 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черновики. КИМ (стандартного размера и увеличенные)и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8" w:name="_Toc533773076"/>
      <w:bookmarkStart w:id="29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A50EE">
        <w:br/>
      </w:r>
      <w:r w:rsidR="00B65ACF" w:rsidRPr="001A63B2">
        <w:t>и инвалидов</w:t>
      </w:r>
      <w:bookmarkEnd w:id="28"/>
      <w:bookmarkEnd w:id="29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Рекомендуетсяосуществлять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>асштабирование производится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0" w:name="_Toc412737765"/>
      <w:bookmarkStart w:id="31" w:name="_Toc533773077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0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1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2" w:name="_Toc412737766"/>
      <w:bookmarkStart w:id="33" w:name="_Toc533773078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2"/>
      <w:bookmarkEnd w:id="33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 xml:space="preserve">оказывает помощь в передвижении и расположении участника экзамена нарабочем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 xml:space="preserve">.Шрифт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 работы на компьютереассистент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,не имеющем выхода в сеть «Интернет» и не содержащем информации по сдаваемому учебному 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71" w:rsidRDefault="00B83171" w:rsidP="00E26F70">
      <w:r>
        <w:separator/>
      </w:r>
    </w:p>
  </w:endnote>
  <w:endnote w:type="continuationSeparator" w:id="1">
    <w:p w:rsidR="00B83171" w:rsidRDefault="00B83171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ED13C1" w:rsidRDefault="00D329EA">
        <w:pPr>
          <w:pStyle w:val="af7"/>
          <w:jc w:val="right"/>
        </w:pPr>
        <w:r>
          <w:fldChar w:fldCharType="begin"/>
        </w:r>
        <w:r w:rsidR="00ED13C1">
          <w:instrText>PAGE   \* MERGEFORMAT</w:instrText>
        </w:r>
        <w:r>
          <w:fldChar w:fldCharType="separate"/>
        </w:r>
        <w:r w:rsidR="00B83171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71" w:rsidRDefault="00B83171" w:rsidP="00E26F70">
      <w:r>
        <w:separator/>
      </w:r>
    </w:p>
  </w:footnote>
  <w:footnote w:type="continuationSeparator" w:id="1">
    <w:p w:rsidR="00B83171" w:rsidRDefault="00B83171" w:rsidP="00E26F70">
      <w:r>
        <w:continuationSeparator/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3">
    <w:p w:rsidR="00ED13C1" w:rsidRDefault="00ED13C1">
      <w:pPr>
        <w:pStyle w:val="af4"/>
      </w:pPr>
      <w:r>
        <w:rPr>
          <w:rStyle w:val="af6"/>
        </w:rPr>
        <w:footnoteRef/>
      </w:r>
      <w:r w:rsidRPr="002B4821">
        <w:t>Списки ассистентов утверждаются ОИВ по согласованию с ГЭК.</w:t>
      </w:r>
    </w:p>
  </w:footnote>
  <w:footnote w:id="4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5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7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8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2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A27D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0025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3171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29EA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1C6B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70D0-B8F4-497E-A550-A0322BAC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9840</Words>
  <Characters>56088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alejandro</cp:lastModifiedBy>
  <cp:revision>3</cp:revision>
  <cp:lastPrinted>2017-12-27T13:58:00Z</cp:lastPrinted>
  <dcterms:created xsi:type="dcterms:W3CDTF">2019-01-10T06:09:00Z</dcterms:created>
  <dcterms:modified xsi:type="dcterms:W3CDTF">2019-01-20T06:29:00Z</dcterms:modified>
</cp:coreProperties>
</file>